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8ED" w:rsidRPr="00446F9D" w:rsidRDefault="00F618ED" w:rsidP="00F618ED">
      <w:pPr>
        <w:pStyle w:val="Header"/>
        <w:tabs>
          <w:tab w:val="clear" w:pos="4536"/>
        </w:tabs>
        <w:rPr>
          <w:i/>
        </w:rPr>
      </w:pPr>
      <w:r w:rsidRPr="00446F9D">
        <w:t>TSG-RAN WG1 #</w:t>
      </w:r>
      <w:r>
        <w:t>87</w:t>
      </w:r>
      <w:r w:rsidRPr="00446F9D">
        <w:tab/>
      </w:r>
      <w:r w:rsidRPr="00386A07">
        <w:t>R1-16</w:t>
      </w:r>
      <w:r w:rsidR="00386A07" w:rsidRPr="00386A07">
        <w:t>12924</w:t>
      </w:r>
    </w:p>
    <w:p w:rsidR="00F618ED" w:rsidRPr="000833FA" w:rsidRDefault="00F618ED" w:rsidP="00F618ED">
      <w:pPr>
        <w:pStyle w:val="Header"/>
        <w:rPr>
          <w:color w:val="000000"/>
        </w:rPr>
      </w:pPr>
      <w:r>
        <w:t>Reno, NV, USA, November 14 – 18, 2016</w:t>
      </w:r>
    </w:p>
    <w:p w:rsidR="00F618ED" w:rsidRPr="000833FA" w:rsidRDefault="00F618ED" w:rsidP="00F618E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bookmarkStart w:id="1" w:name="_GoBack"/>
      <w:r w:rsidR="00E20E32">
        <w:t xml:space="preserve">On </w:t>
      </w:r>
      <w:r w:rsidR="00F204CC">
        <w:t xml:space="preserve">aspects of </w:t>
      </w:r>
      <w:r w:rsidR="003F0390">
        <w:t xml:space="preserve">multiplexing </w:t>
      </w:r>
      <w:r w:rsidR="00F204CC">
        <w:t>high-reliability communication</w:t>
      </w:r>
      <w:r w:rsidR="003F0390">
        <w:t xml:space="preserve"> and eMBB</w:t>
      </w:r>
      <w:bookmarkEnd w:id="1"/>
    </w:p>
    <w:p w:rsidR="00F618ED" w:rsidRPr="00E220C0" w:rsidRDefault="00F618ED" w:rsidP="00F618ED">
      <w:pPr>
        <w:pStyle w:val="Header"/>
        <w:tabs>
          <w:tab w:val="left" w:pos="1800"/>
        </w:tabs>
      </w:pPr>
      <w:r w:rsidRPr="00E220C0">
        <w:t>Agenda Item:</w:t>
      </w:r>
      <w:bookmarkStart w:id="2" w:name="Source"/>
      <w:bookmarkEnd w:id="2"/>
      <w:r w:rsidRPr="00E220C0">
        <w:tab/>
      </w:r>
      <w:r w:rsidR="003F0390">
        <w:t>7.1.4.4</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Discussion</w:t>
      </w:r>
      <w:r w:rsidR="00CC3ADA">
        <w:t xml:space="preserve"> &amp; Decision</w:t>
      </w:r>
    </w:p>
    <w:p w:rsidR="00F618ED" w:rsidRPr="002100D2" w:rsidRDefault="00F618ED" w:rsidP="00F618ED">
      <w:pPr>
        <w:pBdr>
          <w:bottom w:val="single" w:sz="4" w:space="1" w:color="auto"/>
        </w:pBdr>
        <w:tabs>
          <w:tab w:val="left" w:pos="2552"/>
        </w:tabs>
      </w:pPr>
    </w:p>
    <w:p w:rsidR="00F618ED" w:rsidRDefault="00F618ED" w:rsidP="00F618ED">
      <w:pPr>
        <w:pStyle w:val="Heading1"/>
        <w:spacing w:before="180"/>
        <w:ind w:left="562" w:hanging="562"/>
      </w:pPr>
      <w:r>
        <w:t>Introduction</w:t>
      </w:r>
    </w:p>
    <w:p w:rsidR="00F204CC" w:rsidRDefault="00F204CC" w:rsidP="009A0611">
      <w:pPr>
        <w:pStyle w:val="BodyText"/>
      </w:pPr>
      <w:r>
        <w:t>NR is supposed to serve a wide range of uses cases, among</w:t>
      </w:r>
      <w:r w:rsidR="003F0390">
        <w:t xml:space="preserve"> others eMBB and Ultra Low Latency High Reliability Communication </w:t>
      </w:r>
      <w:r>
        <w:t xml:space="preserve">(URLLC). It should also be possible to multiplex traffic types with different </w:t>
      </w:r>
      <w:proofErr w:type="spellStart"/>
      <w:r w:rsidR="00A865CB">
        <w:t>QoS</w:t>
      </w:r>
      <w:proofErr w:type="spellEnd"/>
      <w:r>
        <w:t xml:space="preserve"> requirement </w:t>
      </w:r>
      <w:r w:rsidR="001040B4">
        <w:t>in</w:t>
      </w:r>
      <w:r>
        <w:t xml:space="preserve"> the same carrier. In this contribution we discuss aspects that arise when serving</w:t>
      </w:r>
      <w:r w:rsidR="003E6AFC">
        <w:t xml:space="preserve"> Ultra</w:t>
      </w:r>
      <w:r>
        <w:t xml:space="preserve"> </w:t>
      </w:r>
      <w:r w:rsidR="003E6AFC">
        <w:t>R</w:t>
      </w:r>
      <w:r>
        <w:t xml:space="preserve">eliability </w:t>
      </w:r>
      <w:r w:rsidR="003E6AFC">
        <w:t>C</w:t>
      </w:r>
      <w:r>
        <w:t xml:space="preserve">ommunication </w:t>
      </w:r>
      <w:r w:rsidR="003E6AFC">
        <w:t xml:space="preserve">(URC) </w:t>
      </w:r>
      <w:r>
        <w:t xml:space="preserve">and eMBB </w:t>
      </w:r>
      <w:r w:rsidR="003F0390">
        <w:t>in</w:t>
      </w:r>
      <w:r>
        <w:t xml:space="preserve"> the same carrier.</w:t>
      </w:r>
    </w:p>
    <w:p w:rsidR="006B481E" w:rsidRDefault="00E67D01" w:rsidP="006B481E">
      <w:pPr>
        <w:pStyle w:val="Heading1"/>
        <w:spacing w:before="180"/>
        <w:ind w:left="562" w:hanging="562"/>
      </w:pPr>
      <w:r>
        <w:t>Discussion</w:t>
      </w:r>
    </w:p>
    <w:p w:rsidR="00414700" w:rsidRDefault="00414700" w:rsidP="00414700">
      <w:pPr>
        <w:pStyle w:val="Heading2"/>
      </w:pPr>
      <w:r>
        <w:t>Downlink</w:t>
      </w:r>
    </w:p>
    <w:p w:rsidR="00414700" w:rsidRDefault="003E6AFC" w:rsidP="00DE0D8A">
      <w:pPr>
        <w:pStyle w:val="BodyText"/>
      </w:pPr>
      <w:r>
        <w:t>We can distinguish two error cases: 1) A UE is scheduled but fails to detect its transmission and 2) A UE is not schedule</w:t>
      </w:r>
      <w:r w:rsidR="003F0390">
        <w:t>d</w:t>
      </w:r>
      <w:r>
        <w:t xml:space="preserve"> but falsely detects a matching PDCCH. If any of the</w:t>
      </w:r>
      <w:r w:rsidR="003F0390">
        <w:t>se</w:t>
      </w:r>
      <w:r w:rsidR="001040B4">
        <w:t xml:space="preserve"> two error cases</w:t>
      </w:r>
      <w:r>
        <w:t xml:space="preserve"> happens for an eMBB terminal this will not impact URC ongoing on the same carrier.</w:t>
      </w:r>
    </w:p>
    <w:p w:rsidR="003E6AFC" w:rsidRDefault="003E6AFC" w:rsidP="00DE0D8A">
      <w:pPr>
        <w:pStyle w:val="BodyText"/>
      </w:pPr>
      <w:r>
        <w:t>To guarantee that a DL URC transmission is received with sufficient</w:t>
      </w:r>
      <w:r w:rsidR="003F0390">
        <w:t>ly high</w:t>
      </w:r>
      <w:r>
        <w:t xml:space="preserve"> reliability one must ensure that both PDCCH (in case of dynamic signaling) and PDSCH are transmitted reliable. This can be done using </w:t>
      </w:r>
      <w:r w:rsidR="003F0390">
        <w:t>sufficiently</w:t>
      </w:r>
      <w:r>
        <w:t xml:space="preserve"> robust MCS schemes, coding, and high degree of diversity.</w:t>
      </w:r>
    </w:p>
    <w:p w:rsidR="00EF6372" w:rsidRDefault="003E6AFC" w:rsidP="00DE0D8A">
      <w:pPr>
        <w:pStyle w:val="BodyText"/>
      </w:pPr>
      <w:r>
        <w:t>The second error case above (A UE is not schedule but falsely detects a matching PDCCH) can however not be avoided by robust transmission</w:t>
      </w:r>
      <w:r w:rsidR="003F0390">
        <w:t>s</w:t>
      </w:r>
      <w:r>
        <w:t xml:space="preserve">. </w:t>
      </w:r>
      <w:r w:rsidR="007B3591">
        <w:t xml:space="preserve">In LTE a UE tries to detect control channels over </w:t>
      </w:r>
      <w:r w:rsidR="003F0390">
        <w:t>several</w:t>
      </w:r>
      <w:r w:rsidR="007B3591">
        <w:t xml:space="preserve"> possible </w:t>
      </w:r>
      <w:r w:rsidR="003F0390">
        <w:t>hypothesis</w:t>
      </w:r>
      <w:r w:rsidR="007B3591">
        <w:t xml:space="preserve"> and if </w:t>
      </w:r>
      <w:r w:rsidR="00E92325">
        <w:t xml:space="preserve">it finds a candidate where the CRC checks the UE considers the PDCCH addressed to itself. If no PDCCH has been transmitted on the decoded resources the likelihood the UE falsely </w:t>
      </w:r>
      <w:r w:rsidR="003F0390">
        <w:t>interprets noise</w:t>
      </w:r>
      <w:r w:rsidR="00E92325">
        <w:t xml:space="preserve"> a</w:t>
      </w:r>
      <w:r w:rsidR="003F0390">
        <w:t>s</w:t>
      </w:r>
      <w:r w:rsidR="00E92325">
        <w:t xml:space="preserve"> PDCCH </w:t>
      </w:r>
      <w:r w:rsidR="003F0390">
        <w:t>depends on</w:t>
      </w:r>
      <w:r w:rsidR="00E92325">
        <w:t xml:space="preserve"> the CRC length. For a CRC with length </w:t>
      </w:r>
      <m:oMath>
        <m:r>
          <w:rPr>
            <w:rFonts w:ascii="Cambria Math" w:hAnsi="Cambria Math"/>
          </w:rPr>
          <m:t>N</m:t>
        </m:r>
      </m:oMath>
      <w:r w:rsidR="00E92325">
        <w:t xml:space="preserve"> the false alarm rate can be approximated by </w:t>
      </w:r>
      <m:oMath>
        <m:sSub>
          <m:sSubPr>
            <m:ctrlPr>
              <w:rPr>
                <w:rFonts w:ascii="Cambria Math" w:hAnsi="Cambria Math"/>
                <w:i/>
              </w:rPr>
            </m:ctrlPr>
          </m:sSubPr>
          <m:e>
            <m:r>
              <w:rPr>
                <w:rFonts w:ascii="Cambria Math" w:hAnsi="Cambria Math"/>
              </w:rPr>
              <m:t>P</m:t>
            </m:r>
          </m:e>
          <m:sub>
            <m:r>
              <w:rPr>
                <w:rFonts w:ascii="Cambria Math" w:hAnsi="Cambria Math"/>
              </w:rPr>
              <m:t>false</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oMath>
      <w:r w:rsidR="00E92325">
        <w:t xml:space="preserve">; for </w:t>
      </w:r>
      <m:oMath>
        <m:r>
          <w:rPr>
            <w:rFonts w:ascii="Cambria Math" w:hAnsi="Cambria Math"/>
          </w:rPr>
          <m:t>N=16</m:t>
        </m:r>
      </m:oMath>
      <w:r w:rsidR="00E92325">
        <w:t xml:space="preserve"> the false alarm rate becomes </w:t>
      </w:r>
      <m:oMath>
        <m:sSub>
          <m:sSubPr>
            <m:ctrlPr>
              <w:rPr>
                <w:rFonts w:ascii="Cambria Math" w:hAnsi="Cambria Math"/>
                <w:i/>
              </w:rPr>
            </m:ctrlPr>
          </m:sSubPr>
          <m:e>
            <m:r>
              <w:rPr>
                <w:rFonts w:ascii="Cambria Math" w:hAnsi="Cambria Math"/>
              </w:rPr>
              <m:t>P</m:t>
            </m:r>
          </m:e>
          <m:sub>
            <m:r>
              <w:rPr>
                <w:rFonts w:ascii="Cambria Math" w:hAnsi="Cambria Math"/>
              </w:rPr>
              <m:t>false</m:t>
            </m:r>
          </m:sub>
        </m:sSub>
        <m:r>
          <w:rPr>
            <w:rFonts w:ascii="Cambria Math" w:hAnsi="Cambria Math"/>
          </w:rPr>
          <m:t>=1.5E-5.</m:t>
        </m:r>
      </m:oMath>
      <w:r w:rsidR="00E92325">
        <w:t xml:space="preserve"> In LTE, the UE searches for matching PDCCH over several different candidate positions as well as over several differently scrambled CRC; if the UE tries in total </w:t>
      </w:r>
      <m:oMath>
        <m:r>
          <w:rPr>
            <w:rFonts w:ascii="Cambria Math" w:hAnsi="Cambria Math"/>
          </w:rPr>
          <m:t>M</m:t>
        </m:r>
      </m:oMath>
      <w:r w:rsidR="00E92325">
        <w:t xml:space="preserve"> different decodings the false alarm rate increases roughly be a factor </w:t>
      </w:r>
      <m:oMath>
        <m:r>
          <w:rPr>
            <w:rFonts w:ascii="Cambria Math" w:hAnsi="Cambria Math"/>
          </w:rPr>
          <m:t>M</m:t>
        </m:r>
      </m:oMath>
      <w:r w:rsidR="00E92325">
        <w:t xml:space="preserve"> (assuming small </w:t>
      </w:r>
      <m:oMath>
        <m:sSub>
          <m:sSubPr>
            <m:ctrlPr>
              <w:rPr>
                <w:rFonts w:ascii="Cambria Math" w:hAnsi="Cambria Math"/>
                <w:i/>
              </w:rPr>
            </m:ctrlPr>
          </m:sSubPr>
          <m:e>
            <m:r>
              <w:rPr>
                <w:rFonts w:ascii="Cambria Math" w:hAnsi="Cambria Math"/>
              </w:rPr>
              <m:t>P</m:t>
            </m:r>
          </m:e>
          <m:sub>
            <m:r>
              <w:rPr>
                <w:rFonts w:ascii="Cambria Math" w:hAnsi="Cambria Math"/>
              </w:rPr>
              <m:t>false</m:t>
            </m:r>
          </m:sub>
        </m:sSub>
      </m:oMath>
      <w:r w:rsidR="00E92325">
        <w:t xml:space="preserve">). If the “decoded” PDCCH contains a DL assignment the UE tries to decode the data and will fail. Depending if HARQ is applied and details of the HARQ protocol this wrongly decoded PDSCH may corrupt the </w:t>
      </w:r>
      <w:r w:rsidR="003F0390">
        <w:t xml:space="preserve">UE </w:t>
      </w:r>
      <w:r w:rsidR="001040B4">
        <w:t>soft</w:t>
      </w:r>
      <w:r w:rsidR="00E92325">
        <w:t>buff</w:t>
      </w:r>
      <w:r w:rsidR="001040B4">
        <w:t>er</w:t>
      </w:r>
      <w:r w:rsidR="00E92325">
        <w:t xml:space="preserve">. </w:t>
      </w:r>
      <w:r w:rsidR="003F0390">
        <w:t>If</w:t>
      </w:r>
      <w:r w:rsidR="001040B4">
        <w:t>,</w:t>
      </w:r>
      <w:r w:rsidR="003F0390">
        <w:t xml:space="preserve"> for</w:t>
      </w:r>
      <w:r w:rsidR="00E92325">
        <w:t xml:space="preserve"> a subsequent true </w:t>
      </w:r>
      <w:r w:rsidR="00A865CB">
        <w:t>transmission,</w:t>
      </w:r>
      <w:r w:rsidR="00E92325">
        <w:t xml:space="preserve"> the softbuffer content is combined with the new transmission this likely </w:t>
      </w:r>
      <w:r w:rsidR="0001524A">
        <w:t>lead</w:t>
      </w:r>
      <w:r w:rsidR="003F0390">
        <w:t>s</w:t>
      </w:r>
      <w:r w:rsidR="0001524A">
        <w:t xml:space="preserve"> to a decoding failure. </w:t>
      </w:r>
      <w:r w:rsidR="00EF6372">
        <w:t xml:space="preserve">If a UE stops monitoring for DL assignments after it has </w:t>
      </w:r>
      <w:r w:rsidR="003F0390">
        <w:t xml:space="preserve">received </w:t>
      </w:r>
      <w:r w:rsidR="001040B4">
        <w:t>one,</w:t>
      </w:r>
      <w:r w:rsidR="00EF6372">
        <w:t xml:space="preserve"> it might </w:t>
      </w:r>
      <w:r w:rsidR="003F0390">
        <w:t>miss</w:t>
      </w:r>
      <w:r w:rsidR="00EF6372">
        <w:t xml:space="preserve"> a true DL assignment.</w:t>
      </w:r>
    </w:p>
    <w:p w:rsidR="007B3591" w:rsidRDefault="00A865CB" w:rsidP="00DE0D8A">
      <w:pPr>
        <w:pStyle w:val="BodyText"/>
      </w:pPr>
      <w:r>
        <w:t>Whether</w:t>
      </w:r>
      <w:r w:rsidR="0001524A">
        <w:t xml:space="preserve"> </w:t>
      </w:r>
      <w:r>
        <w:t>these</w:t>
      </w:r>
      <w:r w:rsidR="00EF6372">
        <w:t xml:space="preserve"> issues pose</w:t>
      </w:r>
      <w:r w:rsidR="0001524A">
        <w:t xml:space="preserve"> a true problem for URC depends very much on details of PDCCH des</w:t>
      </w:r>
      <w:r w:rsidR="001040B4">
        <w:t>ign and HARQ operation and need</w:t>
      </w:r>
      <w:r w:rsidR="0001524A">
        <w:t xml:space="preserve"> further study.</w:t>
      </w:r>
      <w:r w:rsidR="002D3D89">
        <w:t xml:space="preserve"> </w:t>
      </w:r>
      <w:r>
        <w:t>A</w:t>
      </w:r>
      <w:r w:rsidR="002D3D89">
        <w:t xml:space="preserve"> simple remedy </w:t>
      </w:r>
      <w:r w:rsidR="001040B4">
        <w:t xml:space="preserve">– if required – </w:t>
      </w:r>
      <w:r w:rsidR="002D3D89">
        <w:t>could be an increased CRC for URC DL assignments</w:t>
      </w:r>
      <w:r w:rsidR="007B31B3">
        <w:t xml:space="preserve"> and/or specifying that a UE cannot stop </w:t>
      </w:r>
      <w:r>
        <w:t xml:space="preserve">decoding </w:t>
      </w:r>
      <w:r w:rsidR="007B31B3">
        <w:t>DL assignments</w:t>
      </w:r>
      <w:r>
        <w:t xml:space="preserve"> early</w:t>
      </w:r>
      <w:r w:rsidR="007B31B3">
        <w:t>.</w:t>
      </w:r>
    </w:p>
    <w:p w:rsidR="0001524A" w:rsidRDefault="0001524A" w:rsidP="0001524A">
      <w:pPr>
        <w:pStyle w:val="Heading2"/>
      </w:pPr>
      <w:r>
        <w:t>Uplink</w:t>
      </w:r>
    </w:p>
    <w:p w:rsidR="00A31A84" w:rsidRDefault="00A31A84" w:rsidP="00A31A84">
      <w:pPr>
        <w:pStyle w:val="BodyText"/>
      </w:pPr>
      <w:r>
        <w:t xml:space="preserve">Also in uplink above two error cases can </w:t>
      </w:r>
      <w:r w:rsidR="00A865CB">
        <w:t>occur</w:t>
      </w:r>
      <w:r>
        <w:t>. Again, robustness of true UL transmissions can be increased by using robust MCS, code rate, and diversity for the UL grant as well as the UL transmission.</w:t>
      </w:r>
    </w:p>
    <w:p w:rsidR="00EF6372" w:rsidRDefault="00EF6372" w:rsidP="00A31A84">
      <w:pPr>
        <w:pStyle w:val="BodyText"/>
      </w:pPr>
      <w:r>
        <w:t xml:space="preserve">The effect of </w:t>
      </w:r>
      <w:r w:rsidR="007B31B3">
        <w:t>a</w:t>
      </w:r>
      <w:r>
        <w:t xml:space="preserve"> falsely detected UL grant</w:t>
      </w:r>
      <w:r w:rsidR="001040B4">
        <w:t>s</w:t>
      </w:r>
      <w:r>
        <w:t xml:space="preserve"> is two-fold: If a UE stops searching for UL grants after it has received one UL grant it might </w:t>
      </w:r>
      <w:r w:rsidR="00A865CB">
        <w:t>miss</w:t>
      </w:r>
      <w:r>
        <w:t xml:space="preserve"> a true UL grant. </w:t>
      </w:r>
      <w:r w:rsidR="001929F9">
        <w:t xml:space="preserve">The transmission based on a wrongly detected UL grant may also disturb other UL </w:t>
      </w:r>
      <w:r w:rsidR="007B31B3">
        <w:t>transmissions</w:t>
      </w:r>
      <w:r w:rsidR="001929F9">
        <w:t>.</w:t>
      </w:r>
      <w:r>
        <w:t xml:space="preserve"> </w:t>
      </w:r>
    </w:p>
    <w:p w:rsidR="00A865CB" w:rsidRDefault="007B31B3" w:rsidP="00A865CB">
      <w:pPr>
        <w:pStyle w:val="BodyText"/>
      </w:pPr>
      <w:r>
        <w:t>The problem</w:t>
      </w:r>
      <w:r w:rsidR="00A865CB">
        <w:t xml:space="preserve"> of a UE missing</w:t>
      </w:r>
      <w:r>
        <w:t xml:space="preserve"> a true UL grant due to a falsely detected UL grant can be mitigated by increased CRC of UL grants and/or specifying </w:t>
      </w:r>
      <w:r w:rsidR="00A865CB">
        <w:t>that a UE cannot stop decoding UL grants early.</w:t>
      </w:r>
    </w:p>
    <w:p w:rsidR="00FB6B59" w:rsidRDefault="007B31B3" w:rsidP="00A31A84">
      <w:pPr>
        <w:pStyle w:val="BodyText"/>
      </w:pPr>
      <w:r>
        <w:t>An UL transmission based on a wrongly detected UL</w:t>
      </w:r>
      <w:r w:rsidR="001040B4">
        <w:t xml:space="preserve"> grant can happen for both eMBB </w:t>
      </w:r>
      <w:r>
        <w:t>and URC term</w:t>
      </w:r>
      <w:r w:rsidR="00A865CB">
        <w:t xml:space="preserve">inals and the victim </w:t>
      </w:r>
      <w:r w:rsidR="001040B4">
        <w:t xml:space="preserve">transmission </w:t>
      </w:r>
      <w:r w:rsidR="00A865CB">
        <w:t>can in bot</w:t>
      </w:r>
      <w:r>
        <w:t>h cases be either a</w:t>
      </w:r>
      <w:r w:rsidR="00A865CB">
        <w:t>n</w:t>
      </w:r>
      <w:r>
        <w:t xml:space="preserve"> eMBB UL transmission (not different from today) or an URC uplink transmission with high reliability demands. </w:t>
      </w:r>
      <w:r w:rsidR="001040B4">
        <w:t xml:space="preserve">A CRC of length </w:t>
      </w:r>
      <m:oMath>
        <m:r>
          <w:rPr>
            <w:rFonts w:ascii="Cambria Math" w:hAnsi="Cambria Math"/>
          </w:rPr>
          <m:t>N=16</m:t>
        </m:r>
      </m:oMath>
      <w:r w:rsidR="001040B4">
        <w:t xml:space="preserve"> provides false detection probability of </w:t>
      </w:r>
      <m:oMath>
        <m:sSub>
          <m:sSubPr>
            <m:ctrlPr>
              <w:rPr>
                <w:rFonts w:ascii="Cambria Math" w:hAnsi="Cambria Math"/>
                <w:i/>
              </w:rPr>
            </m:ctrlPr>
          </m:sSubPr>
          <m:e>
            <m:r>
              <w:rPr>
                <w:rFonts w:ascii="Cambria Math" w:hAnsi="Cambria Math"/>
              </w:rPr>
              <m:t>P</m:t>
            </m:r>
          </m:e>
          <m:sub>
            <m:r>
              <w:rPr>
                <w:rFonts w:ascii="Cambria Math" w:hAnsi="Cambria Math"/>
              </w:rPr>
              <m:t>false</m:t>
            </m:r>
          </m:sub>
        </m:sSub>
        <m:r>
          <w:rPr>
            <w:rFonts w:ascii="Cambria Math" w:hAnsi="Cambria Math"/>
          </w:rPr>
          <m:t>=1.5E-5</m:t>
        </m:r>
      </m:oMath>
      <w:r w:rsidR="001040B4">
        <w:t xml:space="preserve"> for a single decoding attempt and even higher</w:t>
      </w:r>
      <w:r w:rsidR="00B71B3B">
        <w:t xml:space="preserve"> probabilities</w:t>
      </w:r>
      <w:r w:rsidR="001040B4">
        <w:t xml:space="preserve"> if UE </w:t>
      </w:r>
      <w:r w:rsidR="00B71B3B">
        <w:t>tries to decode</w:t>
      </w:r>
      <w:r w:rsidR="001040B4">
        <w:t xml:space="preserve"> multiple candidates. This error rate is too high </w:t>
      </w:r>
      <w:r w:rsidR="001040B4" w:rsidRPr="00036C9B">
        <w:t xml:space="preserve">given the requirements of </w:t>
      </w:r>
      <w:r w:rsidR="00036C9B">
        <w:t>10</w:t>
      </w:r>
      <w:r w:rsidR="00036C9B">
        <w:rPr>
          <w:vertAlign w:val="superscript"/>
        </w:rPr>
        <w:t>-5</w:t>
      </w:r>
      <w:r w:rsidR="00036C9B">
        <w:t xml:space="preserve"> </w:t>
      </w:r>
      <w:r w:rsidR="001040B4" w:rsidRPr="00B71B3B">
        <w:t xml:space="preserve">for </w:t>
      </w:r>
      <w:r w:rsidR="00036C9B">
        <w:t>Reliability</w:t>
      </w:r>
      <w:r w:rsidR="001040B4" w:rsidRPr="00B71B3B">
        <w:t xml:space="preserve"> </w:t>
      </w:r>
      <w:r w:rsidR="00B71B3B" w:rsidRPr="00B71B3B">
        <w:fldChar w:fldCharType="begin"/>
      </w:r>
      <w:r w:rsidR="00B71B3B" w:rsidRPr="00B71B3B">
        <w:instrText xml:space="preserve"> REF _Ref458615491 \r \h </w:instrText>
      </w:r>
      <w:r w:rsidR="00B71B3B">
        <w:instrText xml:space="preserve"> \* MERGEFORMAT </w:instrText>
      </w:r>
      <w:r w:rsidR="00B71B3B" w:rsidRPr="00B71B3B">
        <w:fldChar w:fldCharType="separate"/>
      </w:r>
      <w:r w:rsidR="00B71B3B" w:rsidRPr="00B71B3B">
        <w:t>[1]</w:t>
      </w:r>
      <w:r w:rsidR="00B71B3B" w:rsidRPr="00B71B3B">
        <w:fldChar w:fldCharType="end"/>
      </w:r>
      <w:r w:rsidR="001040B4" w:rsidRPr="00B71B3B">
        <w:t>.</w:t>
      </w:r>
      <w:r w:rsidR="001040B4">
        <w:t xml:space="preserve">  </w:t>
      </w:r>
      <w:r>
        <w:t xml:space="preserve">DCI with URC UL grants could apply longer CRC – this might anyway be needed for other reasons as well – to mitigate this error case. The same solution could of course also be applied to </w:t>
      </w:r>
      <w:r w:rsidR="00FB6B59">
        <w:t xml:space="preserve">DCIs with eMBB UL grants. Drawback of such a </w:t>
      </w:r>
      <w:r w:rsidR="00FB6B59">
        <w:lastRenderedPageBreak/>
        <w:t xml:space="preserve">solution is that control channel load would increase </w:t>
      </w:r>
      <w:r w:rsidR="00A865CB">
        <w:t>with</w:t>
      </w:r>
      <w:r w:rsidR="00FB6B59">
        <w:t xml:space="preserve"> larger CRC for all eMBB UL grants. Furthermore, from UE implementation perspective it might be preferable to have same CRC for UL grants and DL assignments increasing control channel load even further.</w:t>
      </w:r>
    </w:p>
    <w:p w:rsidR="00E16C82" w:rsidRDefault="001D0AB3" w:rsidP="00A31A84">
      <w:pPr>
        <w:pStyle w:val="BodyText"/>
      </w:pPr>
      <w:r>
        <w:t xml:space="preserve">Another possible solution would be to split the UL carrier bandwidth into two separate regions, one for eMBB and one for URC. An </w:t>
      </w:r>
      <w:r w:rsidR="00A865CB">
        <w:t>eMBB terminal</w:t>
      </w:r>
      <w:r>
        <w:t xml:space="preserve"> is only allowed to transmit within the eMBB region of the carrier. Any UL grant pointing to resources outside the eMBB region is discarded. By that a regular CRC can be used for eMBB UL grants since any </w:t>
      </w:r>
      <w:r w:rsidR="00D03DD5">
        <w:t>wrongly</w:t>
      </w:r>
      <w:r w:rsidR="00A865CB">
        <w:t xml:space="preserve"> detected UL grant</w:t>
      </w:r>
      <w:r>
        <w:t xml:space="preserve"> pointing into the URC region </w:t>
      </w:r>
      <w:r w:rsidR="00A865CB">
        <w:t>is</w:t>
      </w:r>
      <w:r>
        <w:t xml:space="preserve"> discarded. </w:t>
      </w:r>
    </w:p>
    <w:p w:rsidR="00B71B3B" w:rsidRDefault="00B71B3B" w:rsidP="00A31A84">
      <w:pPr>
        <w:pStyle w:val="BodyText"/>
      </w:pPr>
      <w:r>
        <w:t>NR is likely to support UEs not supporting the complete carrier bandwidth, i.e. functionality is probably defined configuring a UE with a part of the carrier bandwidth. Similar functionality can be reused to configure a UE with the eMBB share.</w:t>
      </w:r>
    </w:p>
    <w:p w:rsidR="00D03DD5" w:rsidRDefault="003F0390" w:rsidP="003F0390">
      <w:pPr>
        <w:pStyle w:val="BodyText"/>
        <w:jc w:val="center"/>
      </w:pPr>
      <w:r>
        <w:rPr>
          <w:noProof/>
        </w:rPr>
        <w:drawing>
          <wp:inline distT="0" distB="0" distL="0" distR="0">
            <wp:extent cx="2264400" cy="968400"/>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png"/>
                    <pic:cNvPicPr/>
                  </pic:nvPicPr>
                  <pic:blipFill>
                    <a:blip r:embed="rId6">
                      <a:extLst>
                        <a:ext uri="{28A0092B-C50C-407E-A947-70E740481C1C}">
                          <a14:useLocalDpi xmlns:a14="http://schemas.microsoft.com/office/drawing/2010/main" val="0"/>
                        </a:ext>
                      </a:extLst>
                    </a:blip>
                    <a:stretch>
                      <a:fillRect/>
                    </a:stretch>
                  </pic:blipFill>
                  <pic:spPr>
                    <a:xfrm>
                      <a:off x="0" y="0"/>
                      <a:ext cx="2264400" cy="968400"/>
                    </a:xfrm>
                    <a:prstGeom prst="rect">
                      <a:avLst/>
                    </a:prstGeom>
                  </pic:spPr>
                </pic:pic>
              </a:graphicData>
            </a:graphic>
          </wp:inline>
        </w:drawing>
      </w:r>
    </w:p>
    <w:p w:rsidR="00E44FF3" w:rsidRDefault="00E44FF3" w:rsidP="00E44FF3">
      <w:pPr>
        <w:pStyle w:val="Caption"/>
      </w:pPr>
      <w:r>
        <w:t xml:space="preserve">Figure </w:t>
      </w:r>
      <w:r w:rsidR="00386A07">
        <w:fldChar w:fldCharType="begin"/>
      </w:r>
      <w:r w:rsidR="00386A07">
        <w:instrText xml:space="preserve"> SEQ Figure \* ARABIC </w:instrText>
      </w:r>
      <w:r w:rsidR="00386A07">
        <w:fldChar w:fldCharType="separate"/>
      </w:r>
      <w:r>
        <w:rPr>
          <w:noProof/>
        </w:rPr>
        <w:t>1</w:t>
      </w:r>
      <w:r w:rsidR="00386A07">
        <w:rPr>
          <w:noProof/>
        </w:rPr>
        <w:fldChar w:fldCharType="end"/>
      </w:r>
      <w:r>
        <w:t>: The UL carrier bandwidth is separated into an eMBB region and an URC region. eMBB terminals are only allowed to transmit in the eMBB region.</w:t>
      </w:r>
      <w:r>
        <w:tab/>
      </w:r>
    </w:p>
    <w:p w:rsidR="001D0AB3" w:rsidRDefault="00A865CB" w:rsidP="00A31A84">
      <w:pPr>
        <w:pStyle w:val="BodyText"/>
      </w:pPr>
      <w:r>
        <w:t>A drawback of this solution is that the carrier might be underutilized if e.g. more eMBB resources would be needed than reserved on the eMBB share and the URC share is underutilized. This</w:t>
      </w:r>
      <w:r w:rsidR="00E16C82">
        <w:t xml:space="preserve"> could be mitigated by allowing eMBB terminals to use the URC share as well if scheduled with DCI UL grants providing for low false detections. Low false detections could either be achieved by a longer CRC (but as said before this might not be the </w:t>
      </w:r>
      <w:r w:rsidR="00D03DD5">
        <w:t>preferred solution for eMBB terminal</w:t>
      </w:r>
      <w:r>
        <w:t>s</w:t>
      </w:r>
      <w:r w:rsidR="00D03DD5">
        <w:t>). Another possibility is to schedule a</w:t>
      </w:r>
      <w:r>
        <w:t>n</w:t>
      </w:r>
      <w:r w:rsidR="00D03DD5">
        <w:t xml:space="preserve"> eMBB terminal twice with the same UL grant and only if the eMBB terminal receives both UL grants it </w:t>
      </w:r>
      <w:r>
        <w:t>can</w:t>
      </w:r>
      <w:r w:rsidR="00D03DD5">
        <w:t xml:space="preserve"> transmit on resources in the URC region. The likelihood an eMBB terminal falsely confuses two noise signatures as the same UL grant is very low.</w:t>
      </w:r>
    </w:p>
    <w:p w:rsidR="00DA7D33" w:rsidRDefault="00DA7D33" w:rsidP="00DA7D33">
      <w:pPr>
        <w:pStyle w:val="Heading1"/>
        <w:spacing w:before="180"/>
        <w:ind w:left="562" w:hanging="562"/>
      </w:pPr>
      <w:r>
        <w:t>Conclusion</w:t>
      </w:r>
    </w:p>
    <w:p w:rsidR="00545DCF" w:rsidRDefault="003F0390" w:rsidP="002C54C1">
      <w:pPr>
        <w:pStyle w:val="BodyText"/>
      </w:pPr>
      <w:r>
        <w:t xml:space="preserve">In this paper we discuss several aspects related to multiplexing of Ultra Reliable Communication and eMBB traffic </w:t>
      </w:r>
      <w:r w:rsidR="00A865CB">
        <w:t>in</w:t>
      </w:r>
      <w:r>
        <w:t xml:space="preserve"> the same carrier and highlight issues related to falsely detected DL assignments and UL grants.</w:t>
      </w:r>
      <w:r w:rsidR="00CC3ADA">
        <w:t xml:space="preserve"> Based on this we propose the following</w:t>
      </w:r>
    </w:p>
    <w:p w:rsidR="00CC3ADA" w:rsidRDefault="00CC3ADA" w:rsidP="00CC3ADA">
      <w:pPr>
        <w:pStyle w:val="BodyText"/>
        <w:numPr>
          <w:ilvl w:val="0"/>
          <w:numId w:val="21"/>
        </w:numPr>
      </w:pPr>
      <w:r>
        <w:t>NR design not targeting URC should be design so that it does not interfere with URC transmissions</w:t>
      </w:r>
    </w:p>
    <w:p w:rsidR="00CC3ADA" w:rsidRDefault="00CC3ADA" w:rsidP="00CC3ADA">
      <w:pPr>
        <w:pStyle w:val="BodyText"/>
        <w:numPr>
          <w:ilvl w:val="1"/>
          <w:numId w:val="21"/>
        </w:numPr>
      </w:pPr>
      <w:r>
        <w:t>Study further mechanisms to ensure this</w:t>
      </w:r>
    </w:p>
    <w:p w:rsidR="00B71B3B" w:rsidRPr="00B71B3B" w:rsidRDefault="00B71B3B" w:rsidP="002C54C1">
      <w:pPr>
        <w:pStyle w:val="BodyText"/>
        <w:rPr>
          <w:rFonts w:ascii="Helvetica" w:hAnsi="Helvetica" w:cs="Helvetica"/>
          <w:b/>
          <w:sz w:val="28"/>
          <w:szCs w:val="28"/>
        </w:rPr>
      </w:pPr>
      <w:r w:rsidRPr="00B71B3B">
        <w:rPr>
          <w:rFonts w:ascii="Helvetica" w:hAnsi="Helvetica" w:cs="Helvetica"/>
          <w:b/>
          <w:sz w:val="28"/>
          <w:szCs w:val="28"/>
        </w:rPr>
        <w:t>References</w:t>
      </w:r>
    </w:p>
    <w:p w:rsidR="00B71B3B" w:rsidRPr="00036C9B" w:rsidRDefault="00036C9B" w:rsidP="00036C9B">
      <w:pPr>
        <w:pStyle w:val="Reference"/>
        <w:rPr>
          <w:rFonts w:ascii="Times New Roman" w:hAnsi="Times New Roman"/>
        </w:rPr>
      </w:pPr>
      <w:bookmarkStart w:id="4" w:name="_Ref458160784"/>
      <w:bookmarkStart w:id="5" w:name="_Ref458615491"/>
      <w:bookmarkStart w:id="6" w:name="_Ref462310565"/>
      <w:r w:rsidRPr="00036C9B">
        <w:rPr>
          <w:rFonts w:ascii="Times New Roman" w:hAnsi="Times New Roman"/>
        </w:rPr>
        <w:t>TR 38.913 V1.0.0 3rd Generation Partnership Project;</w:t>
      </w:r>
      <w:r>
        <w:rPr>
          <w:rFonts w:ascii="Times New Roman" w:hAnsi="Times New Roman"/>
        </w:rPr>
        <w:t xml:space="preserve"> </w:t>
      </w:r>
      <w:r w:rsidRPr="00036C9B">
        <w:rPr>
          <w:rFonts w:ascii="Times New Roman" w:hAnsi="Times New Roman"/>
        </w:rPr>
        <w:t>Technical Specification Group Radio Access Network; Study on Scenarios and Requirements for Next Generation Access Technologies; (Release 14)</w:t>
      </w:r>
      <w:bookmarkEnd w:id="4"/>
      <w:bookmarkEnd w:id="5"/>
      <w:bookmarkEnd w:id="6"/>
    </w:p>
    <w:p w:rsidR="00B71B3B" w:rsidRPr="00B71B3B" w:rsidRDefault="00B71B3B" w:rsidP="002C54C1">
      <w:pPr>
        <w:pStyle w:val="BodyText"/>
        <w:rPr>
          <w:lang w:val="it-IT"/>
        </w:rPr>
      </w:pPr>
    </w:p>
    <w:sectPr w:rsidR="00B71B3B" w:rsidRPr="00B71B3B"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065949"/>
    <w:multiLevelType w:val="hybridMultilevel"/>
    <w:tmpl w:val="04DCED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0"/>
  </w:num>
  <w:num w:numId="4">
    <w:abstractNumId w:val="17"/>
  </w:num>
  <w:num w:numId="5">
    <w:abstractNumId w:val="14"/>
  </w:num>
  <w:num w:numId="6">
    <w:abstractNumId w:val="12"/>
  </w:num>
  <w:num w:numId="7">
    <w:abstractNumId w:val="16"/>
  </w:num>
  <w:num w:numId="8">
    <w:abstractNumId w:val="15"/>
  </w:num>
  <w:num w:numId="9">
    <w:abstractNumId w:val="6"/>
  </w:num>
  <w:num w:numId="10">
    <w:abstractNumId w:val="2"/>
  </w:num>
  <w:num w:numId="11">
    <w:abstractNumId w:val="11"/>
  </w:num>
  <w:num w:numId="12">
    <w:abstractNumId w:val="18"/>
  </w:num>
  <w:num w:numId="13">
    <w:abstractNumId w:val="1"/>
  </w:num>
  <w:num w:numId="14">
    <w:abstractNumId w:val="3"/>
  </w:num>
  <w:num w:numId="15">
    <w:abstractNumId w:val="7"/>
  </w:num>
  <w:num w:numId="16">
    <w:abstractNumId w:val="4"/>
  </w:num>
  <w:num w:numId="17">
    <w:abstractNumId w:val="17"/>
  </w:num>
  <w:num w:numId="18">
    <w:abstractNumId w:val="10"/>
  </w:num>
  <w:num w:numId="19">
    <w:abstractNumId w:val="13"/>
  </w:num>
  <w:num w:numId="20">
    <w:abstractNumId w:val="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524A"/>
    <w:rsid w:val="000208D5"/>
    <w:rsid w:val="00024F13"/>
    <w:rsid w:val="00036C9B"/>
    <w:rsid w:val="001040B4"/>
    <w:rsid w:val="00106ABF"/>
    <w:rsid w:val="0012040F"/>
    <w:rsid w:val="00135302"/>
    <w:rsid w:val="001929F9"/>
    <w:rsid w:val="001D0AB3"/>
    <w:rsid w:val="001F0CAF"/>
    <w:rsid w:val="00213303"/>
    <w:rsid w:val="0028065B"/>
    <w:rsid w:val="00286B6D"/>
    <w:rsid w:val="0029690F"/>
    <w:rsid w:val="002C54C1"/>
    <w:rsid w:val="002D3D89"/>
    <w:rsid w:val="0034475B"/>
    <w:rsid w:val="0036001A"/>
    <w:rsid w:val="00386A07"/>
    <w:rsid w:val="003E6AFC"/>
    <w:rsid w:val="003F0390"/>
    <w:rsid w:val="00414700"/>
    <w:rsid w:val="0048093F"/>
    <w:rsid w:val="0049799A"/>
    <w:rsid w:val="004B1C8B"/>
    <w:rsid w:val="004B6108"/>
    <w:rsid w:val="0052140E"/>
    <w:rsid w:val="00545DCF"/>
    <w:rsid w:val="005514B5"/>
    <w:rsid w:val="005838EA"/>
    <w:rsid w:val="00696A64"/>
    <w:rsid w:val="006A286A"/>
    <w:rsid w:val="006B481E"/>
    <w:rsid w:val="006D4A4B"/>
    <w:rsid w:val="007B31B3"/>
    <w:rsid w:val="007B3591"/>
    <w:rsid w:val="007E2621"/>
    <w:rsid w:val="008A0342"/>
    <w:rsid w:val="00942F98"/>
    <w:rsid w:val="009A0611"/>
    <w:rsid w:val="009B46D2"/>
    <w:rsid w:val="009E46CD"/>
    <w:rsid w:val="00A31308"/>
    <w:rsid w:val="00A31A84"/>
    <w:rsid w:val="00A865CB"/>
    <w:rsid w:val="00B03ED8"/>
    <w:rsid w:val="00B368D9"/>
    <w:rsid w:val="00B71B3B"/>
    <w:rsid w:val="00BB2430"/>
    <w:rsid w:val="00BB6BDD"/>
    <w:rsid w:val="00BB7B54"/>
    <w:rsid w:val="00BE4063"/>
    <w:rsid w:val="00C1560A"/>
    <w:rsid w:val="00C62894"/>
    <w:rsid w:val="00C8496C"/>
    <w:rsid w:val="00CA5E5D"/>
    <w:rsid w:val="00CB5A40"/>
    <w:rsid w:val="00CC1CA7"/>
    <w:rsid w:val="00CC3ADA"/>
    <w:rsid w:val="00CE6CB0"/>
    <w:rsid w:val="00D00637"/>
    <w:rsid w:val="00D03072"/>
    <w:rsid w:val="00D03DD5"/>
    <w:rsid w:val="00D577BB"/>
    <w:rsid w:val="00DA7D33"/>
    <w:rsid w:val="00DB6F36"/>
    <w:rsid w:val="00DD017B"/>
    <w:rsid w:val="00DD11CB"/>
    <w:rsid w:val="00DE0D8A"/>
    <w:rsid w:val="00DE1BAA"/>
    <w:rsid w:val="00E10C1F"/>
    <w:rsid w:val="00E16C82"/>
    <w:rsid w:val="00E20E32"/>
    <w:rsid w:val="00E44FF3"/>
    <w:rsid w:val="00E67D01"/>
    <w:rsid w:val="00E92325"/>
    <w:rsid w:val="00EB26FB"/>
    <w:rsid w:val="00EF6372"/>
    <w:rsid w:val="00EF7784"/>
    <w:rsid w:val="00F204CC"/>
    <w:rsid w:val="00F346B4"/>
    <w:rsid w:val="00F600C6"/>
    <w:rsid w:val="00F618ED"/>
    <w:rsid w:val="00F81C1C"/>
    <w:rsid w:val="00F92325"/>
    <w:rsid w:val="00F92540"/>
    <w:rsid w:val="00FB6B59"/>
    <w:rsid w:val="00FE1148"/>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6314B"/>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PlaceholderText">
    <w:name w:val="Placeholder Text"/>
    <w:basedOn w:val="DefaultParagraphFont"/>
    <w:uiPriority w:val="99"/>
    <w:semiHidden/>
    <w:rsid w:val="00E67D01"/>
    <w:rPr>
      <w:color w:val="808080"/>
    </w:rPr>
  </w:style>
  <w:style w:type="paragraph" w:customStyle="1" w:styleId="Reference">
    <w:name w:val="Reference"/>
    <w:basedOn w:val="Normal"/>
    <w:link w:val="ReferenceChar"/>
    <w:rsid w:val="00696A64"/>
    <w:pPr>
      <w:numPr>
        <w:numId w:val="20"/>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696A64"/>
    <w:rPr>
      <w:rFonts w:ascii="Arial"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8B8C8-2FC9-4FD4-A222-44D89228F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robert.baldemair@ericsson.com</dc:creator>
  <cp:keywords/>
  <dc:description/>
  <cp:lastModifiedBy>Stefan Parkvall</cp:lastModifiedBy>
  <cp:revision>2</cp:revision>
  <dcterms:created xsi:type="dcterms:W3CDTF">2016-11-04T12:51:00Z</dcterms:created>
  <dcterms:modified xsi:type="dcterms:W3CDTF">2016-11-04T12:51:00Z</dcterms:modified>
</cp:coreProperties>
</file>